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8F95" w14:textId="77777777" w:rsidR="00AE3BA1" w:rsidRDefault="00791FE7" w:rsidP="00577A17">
      <w:pPr>
        <w:pStyle w:val="Heading1"/>
      </w:pPr>
      <w:r w:rsidRPr="00267F85">
        <w:rPr>
          <w:rFonts w:eastAsia="Arial"/>
        </w:rPr>
        <w:t>Pupil premium strategy statement</w:t>
      </w:r>
      <w:r>
        <w:rPr>
          <w:rFonts w:eastAsia="Arial"/>
        </w:rPr>
        <w:t>:</w:t>
      </w:r>
      <w:r w:rsidRPr="00267F85">
        <w:t xml:space="preserve"> </w:t>
      </w:r>
      <w:r>
        <w:t>Moor Park</w:t>
      </w:r>
      <w:r w:rsidR="00384431">
        <w:t xml:space="preserve"> 2016 - 17</w:t>
      </w:r>
    </w:p>
    <w:p w14:paraId="2AD74443" w14:textId="77777777" w:rsidR="00791FE7" w:rsidRDefault="00791FE7" w:rsidP="00577A17">
      <w:pPr>
        <w:pStyle w:val="Heading2"/>
      </w:pPr>
      <w:r>
        <w:t xml:space="preserve">Based on the </w:t>
      </w:r>
      <w:r w:rsidR="00577A17">
        <w:t>TSC Pupil Premium Toolkit</w:t>
      </w:r>
    </w:p>
    <w:p w14:paraId="1F627F01" w14:textId="77777777" w:rsidR="00577A17" w:rsidRDefault="00577A17" w:rsidP="00577A17"/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067"/>
        <w:gridCol w:w="4819"/>
        <w:gridCol w:w="1571"/>
      </w:tblGrid>
      <w:tr w:rsidR="00577A17" w:rsidRPr="00B80272" w14:paraId="787F03BA" w14:textId="77777777" w:rsidTr="00577A17">
        <w:tc>
          <w:tcPr>
            <w:tcW w:w="15025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0AF19D7" w14:textId="77777777" w:rsidR="00577A17" w:rsidRPr="00B80272" w:rsidRDefault="00577A17" w:rsidP="00577A17">
            <w:pPr>
              <w:pStyle w:val="ListParagraph"/>
              <w:numPr>
                <w:ilvl w:val="0"/>
                <w:numId w:val="1"/>
              </w:numPr>
              <w:ind w:left="426" w:right="-20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577A17" w:rsidRPr="00B80272" w14:paraId="6A70CF06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3BBEE05F" w14:textId="77777777" w:rsidR="00577A17" w:rsidRPr="00B80272" w:rsidRDefault="00577A17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365" w:type="dxa"/>
            <w:gridSpan w:val="5"/>
            <w:tcMar>
              <w:top w:w="57" w:type="dxa"/>
              <w:bottom w:w="57" w:type="dxa"/>
            </w:tcMar>
          </w:tcPr>
          <w:p w14:paraId="24B26246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</w:tr>
      <w:tr w:rsidR="00577A17" w:rsidRPr="00B80272" w14:paraId="202C9136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04C310D8" w14:textId="77777777" w:rsidR="00577A17" w:rsidRPr="00B80272" w:rsidRDefault="00577A17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A69E504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5B83AD48" w14:textId="77777777" w:rsidR="00577A17" w:rsidRPr="00F970BA" w:rsidRDefault="00577A17" w:rsidP="00BF0CE1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067" w:type="dxa"/>
          </w:tcPr>
          <w:p w14:paraId="659B9366" w14:textId="77777777" w:rsidR="00577A17" w:rsidRPr="00F970BA" w:rsidRDefault="00577A17" w:rsidP="00BF0CE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1C728DA5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71" w:type="dxa"/>
          </w:tcPr>
          <w:p w14:paraId="71B0A165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7A17" w:rsidRPr="00B80272" w14:paraId="6585516A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68CB7F4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DEF5F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418F453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067" w:type="dxa"/>
          </w:tcPr>
          <w:p w14:paraId="305F678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713C5B7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71" w:type="dxa"/>
          </w:tcPr>
          <w:p w14:paraId="2C94DA3E" w14:textId="687F15D1" w:rsidR="00577A17" w:rsidRPr="00B80272" w:rsidRDefault="00EE582D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bookmarkStart w:id="0" w:name="_GoBack"/>
            <w:bookmarkEnd w:id="0"/>
            <w:r w:rsidR="00577A17">
              <w:rPr>
                <w:rFonts w:ascii="Arial" w:hAnsi="Arial" w:cs="Arial"/>
              </w:rPr>
              <w:t xml:space="preserve"> 2017</w:t>
            </w:r>
          </w:p>
        </w:tc>
      </w:tr>
    </w:tbl>
    <w:p w14:paraId="469147FE" w14:textId="77777777" w:rsidR="00577A17" w:rsidRDefault="00577A17" w:rsidP="00577A17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046"/>
        <w:gridCol w:w="2977"/>
        <w:gridCol w:w="4002"/>
      </w:tblGrid>
      <w:tr w:rsidR="00577A17" w:rsidRPr="00B80272" w14:paraId="2E3AE609" w14:textId="77777777" w:rsidTr="00577A17">
        <w:tc>
          <w:tcPr>
            <w:tcW w:w="15025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4E83B81C" w14:textId="77777777" w:rsidR="00577A17" w:rsidRPr="009242F1" w:rsidRDefault="00577A17" w:rsidP="00577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577A17" w:rsidRPr="00B80272" w14:paraId="0CFC6130" w14:textId="77777777" w:rsidTr="00577A17">
        <w:tc>
          <w:tcPr>
            <w:tcW w:w="8046" w:type="dxa"/>
            <w:tcMar>
              <w:top w:w="57" w:type="dxa"/>
              <w:bottom w:w="57" w:type="dxa"/>
            </w:tcMar>
          </w:tcPr>
          <w:p w14:paraId="2497B546" w14:textId="77777777" w:rsidR="00577A17" w:rsidRPr="00B80272" w:rsidRDefault="00577A17" w:rsidP="00BF0C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F546" w14:textId="77777777" w:rsidR="00577A17" w:rsidRPr="00B80272" w:rsidRDefault="00577A17" w:rsidP="00BF0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0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AFB7D23" w14:textId="77777777" w:rsidR="00577A17" w:rsidRPr="00B80272" w:rsidRDefault="00577A17" w:rsidP="00BF0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577A17" w:rsidRPr="002954A6" w14:paraId="6BEEC638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292E20" w14:textId="77777777" w:rsidR="00577A17" w:rsidRPr="002954A6" w:rsidRDefault="00577A17" w:rsidP="00577A1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Expected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B6A99" w14:textId="7D378D4F" w:rsidR="00577A17" w:rsidRPr="002954A6" w:rsidRDefault="001C01D8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B955BC7" w14:textId="77777777" w:rsidR="00577A17" w:rsidRPr="002954A6" w:rsidRDefault="000E6110" w:rsidP="00BF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</w:tr>
      <w:tr w:rsidR="00577A17" w:rsidRPr="002954A6" w14:paraId="224F19DA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23745E2" w14:textId="77777777" w:rsidR="00577A17" w:rsidRPr="002954A6" w:rsidRDefault="00577A17" w:rsidP="00577A1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Progress for Reading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0CC89" w14:textId="779F9A9A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-0.9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339104" w14:textId="40FAF00B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</w:t>
            </w:r>
          </w:p>
        </w:tc>
      </w:tr>
      <w:tr w:rsidR="00577A17" w:rsidRPr="002954A6" w14:paraId="75C37F31" w14:textId="77777777" w:rsidTr="00577A17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F9F7A0A" w14:textId="77777777" w:rsidR="00577A17" w:rsidRPr="002954A6" w:rsidRDefault="00577A17" w:rsidP="00BF0CE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for Writing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19B42A" w14:textId="75D7B7A0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2183A0" w14:textId="6FAC68F6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</w:t>
            </w:r>
          </w:p>
        </w:tc>
      </w:tr>
      <w:tr w:rsidR="00577A17" w:rsidRPr="002954A6" w14:paraId="64EB28FB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7F3747B" w14:textId="77777777" w:rsidR="00577A17" w:rsidRPr="002954A6" w:rsidRDefault="00577A17" w:rsidP="00BF0CE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for Maths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C8924A" w14:textId="44439EAD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6A0E12D" w14:textId="712B2FAE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</w:t>
            </w:r>
          </w:p>
        </w:tc>
      </w:tr>
    </w:tbl>
    <w:p w14:paraId="2C900768" w14:textId="77777777" w:rsidR="00577A17" w:rsidRDefault="00577A17" w:rsidP="00577A17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19"/>
        <w:gridCol w:w="40"/>
        <w:gridCol w:w="8395"/>
        <w:gridCol w:w="5771"/>
      </w:tblGrid>
      <w:tr w:rsidR="00E52415" w:rsidRPr="002954A6" w14:paraId="36A9A927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2C78F05B" w14:textId="77777777" w:rsidR="00577A17" w:rsidRPr="002954A6" w:rsidRDefault="00577A17" w:rsidP="00577A1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Barriers to future attainment (for pupils eligible for PP including high ability)</w:t>
            </w:r>
          </w:p>
        </w:tc>
      </w:tr>
      <w:tr w:rsidR="00E52415" w:rsidRPr="002954A6" w14:paraId="798C6CEC" w14:textId="77777777" w:rsidTr="00E52415">
        <w:tc>
          <w:tcPr>
            <w:tcW w:w="1502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5CB0BB2" w14:textId="77777777" w:rsidR="00577A17" w:rsidRPr="002954A6" w:rsidRDefault="00577A17" w:rsidP="00BF0CE1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415" w:rsidRPr="002954A6" w14:paraId="59C0F02C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B3BA1F5" w14:textId="77777777" w:rsidR="00577A17" w:rsidRPr="002954A6" w:rsidRDefault="00577A17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E52415" w:rsidRPr="002954A6" w14:paraId="58BF3086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59CA9C5A" w14:textId="77777777" w:rsidR="00577A17" w:rsidRPr="002954A6" w:rsidRDefault="00577A17" w:rsidP="00577A17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66" w:type="dxa"/>
            <w:gridSpan w:val="2"/>
          </w:tcPr>
          <w:p w14:paraId="4CDD16C4" w14:textId="4DF3BEDA" w:rsidR="00577A17" w:rsidRPr="00AE78F2" w:rsidRDefault="00404547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 Language and Literacy issues in EYFS / KS1 cause PP pupils to make </w:t>
            </w:r>
            <w:r w:rsidR="00EC69F3">
              <w:rPr>
                <w:rFonts w:ascii="Arial" w:hAnsi="Arial" w:cs="Arial"/>
                <w:sz w:val="18"/>
                <w:szCs w:val="18"/>
              </w:rPr>
              <w:t>slow progress</w:t>
            </w:r>
          </w:p>
        </w:tc>
      </w:tr>
      <w:tr w:rsidR="00E52415" w:rsidRPr="002954A6" w14:paraId="380BA52D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9B55DEC" w14:textId="77777777" w:rsidR="00577A17" w:rsidRPr="002954A6" w:rsidRDefault="00577A17" w:rsidP="00577A17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66" w:type="dxa"/>
            <w:gridSpan w:val="2"/>
          </w:tcPr>
          <w:p w14:paraId="7DE0E705" w14:textId="6C41A720" w:rsidR="00577A17" w:rsidRPr="00AE78F2" w:rsidRDefault="004841B6" w:rsidP="00E6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 result of prior lower attainment in KS1, PP children performed less well in reading than nonPP children. </w:t>
            </w:r>
          </w:p>
        </w:tc>
      </w:tr>
      <w:tr w:rsidR="00E52415" w:rsidRPr="002954A6" w14:paraId="2A2874C6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1CC7AA7" w14:textId="77777777" w:rsidR="00577A17" w:rsidRPr="002954A6" w:rsidRDefault="00577A17" w:rsidP="00BF0CE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66" w:type="dxa"/>
            <w:gridSpan w:val="2"/>
          </w:tcPr>
          <w:p w14:paraId="0C8A2134" w14:textId="5BB455FA" w:rsidR="00577A17" w:rsidRPr="00AE215D" w:rsidRDefault="004E73BE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4E8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E215D" w:rsidRPr="002064E8">
              <w:rPr>
                <w:rFonts w:ascii="Arial" w:hAnsi="Arial" w:cs="Arial"/>
                <w:b/>
                <w:sz w:val="18"/>
                <w:szCs w:val="18"/>
              </w:rPr>
              <w:t>igher ability PP children in KS2</w:t>
            </w:r>
            <w:r w:rsidRPr="002064E8">
              <w:rPr>
                <w:rFonts w:ascii="Arial" w:hAnsi="Arial" w:cs="Arial"/>
                <w:b/>
                <w:sz w:val="18"/>
                <w:szCs w:val="18"/>
              </w:rPr>
              <w:t xml:space="preserve"> did not make same progress as higher achieving nonPP children</w:t>
            </w:r>
            <w:r w:rsidRPr="00AE2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E60C0" w:rsidRPr="002954A6" w14:paraId="68F7E99E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199DC543" w14:textId="09CA3169" w:rsidR="001E60C0" w:rsidRPr="002954A6" w:rsidRDefault="001E60C0" w:rsidP="00BF0CE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166" w:type="dxa"/>
            <w:gridSpan w:val="2"/>
          </w:tcPr>
          <w:p w14:paraId="54A56A9D" w14:textId="2F885EC9" w:rsidR="001E60C0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Reading, Writing and Maths was lower at KS2 for PP children and, on exploration, is lower across KS2</w:t>
            </w:r>
          </w:p>
        </w:tc>
      </w:tr>
      <w:tr w:rsidR="00E52415" w:rsidRPr="002954A6" w14:paraId="4B9F694D" w14:textId="77777777" w:rsidTr="00E52415">
        <w:trPr>
          <w:trHeight w:val="70"/>
        </w:trPr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D14A233" w14:textId="77777777" w:rsidR="00577A17" w:rsidRPr="002954A6" w:rsidRDefault="00577A17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E52415" w:rsidRPr="002954A6" w14:paraId="62729D26" w14:textId="77777777" w:rsidTr="00E52415">
        <w:trPr>
          <w:trHeight w:val="70"/>
        </w:trPr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D9782AB" w14:textId="33B7DC3A" w:rsidR="00577A17" w:rsidRPr="002954A6" w:rsidRDefault="001E60C0" w:rsidP="00BF0CE1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577A17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66" w:type="dxa"/>
            <w:gridSpan w:val="2"/>
          </w:tcPr>
          <w:p w14:paraId="787CAFD6" w14:textId="59680281" w:rsidR="00577A17" w:rsidRPr="002954A6" w:rsidRDefault="0003717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 at lunchtimes during academic year 2015 – 16 was raised as a concern by pupils </w:t>
            </w:r>
          </w:p>
        </w:tc>
      </w:tr>
      <w:tr w:rsidR="00E52415" w:rsidRPr="002954A6" w14:paraId="43949420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203B71C" w14:textId="77777777" w:rsidR="00E52415" w:rsidRPr="002954A6" w:rsidRDefault="00E52415" w:rsidP="00E5241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E52415" w:rsidRPr="002954A6" w14:paraId="40BBF6B9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36035921" w14:textId="77777777" w:rsidR="00E52415" w:rsidRPr="002954A6" w:rsidRDefault="00E52415" w:rsidP="00BF0C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397F2819" w14:textId="77777777" w:rsidR="00E52415" w:rsidRPr="002954A6" w:rsidRDefault="00E52415" w:rsidP="00BF0CE1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5771" w:type="dxa"/>
          </w:tcPr>
          <w:p w14:paraId="5E320A24" w14:textId="77777777" w:rsidR="00E52415" w:rsidRPr="002954A6" w:rsidRDefault="00E52415" w:rsidP="00BF0CE1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E52415" w:rsidRPr="002954A6" w14:paraId="34EA4BEF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05F4E36A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1EC50292" w14:textId="5D77FC07" w:rsidR="00E52415" w:rsidRPr="00AE78F2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oral language in reception and KS1</w:t>
            </w:r>
          </w:p>
        </w:tc>
        <w:tc>
          <w:tcPr>
            <w:tcW w:w="5771" w:type="dxa"/>
          </w:tcPr>
          <w:p w14:paraId="3503F4AA" w14:textId="3C701EFC" w:rsidR="00E52415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KS1 </w:t>
            </w:r>
            <w:r w:rsidRPr="00AE78F2"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rapid progress by the end of the year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meet age related expectations.</w:t>
            </w:r>
          </w:p>
          <w:p w14:paraId="07006333" w14:textId="7B422EA2" w:rsidR="004B3D77" w:rsidRPr="00AE78F2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15" w:rsidRPr="002954A6" w14:paraId="0245B764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1B6FD057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2B985C25" w14:textId="5855AA25" w:rsidR="00E52415" w:rsidRPr="00AE78F2" w:rsidRDefault="004E73B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</w:t>
            </w:r>
            <w:r w:rsidR="00AA3CC5">
              <w:rPr>
                <w:rFonts w:ascii="Arial" w:hAnsi="Arial" w:cs="Arial"/>
                <w:sz w:val="18"/>
                <w:szCs w:val="18"/>
              </w:rPr>
              <w:t xml:space="preserve"> in reading </w:t>
            </w:r>
          </w:p>
        </w:tc>
        <w:tc>
          <w:tcPr>
            <w:tcW w:w="5771" w:type="dxa"/>
          </w:tcPr>
          <w:p w14:paraId="696D366A" w14:textId="77777777" w:rsidR="00E52415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pupils in reading achieve in line with their peers across KS2</w:t>
            </w:r>
          </w:p>
          <w:p w14:paraId="0F13B64F" w14:textId="58F59F41" w:rsidR="00AA3CC5" w:rsidRPr="00AE78F2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Y6, PP children achieve in line or exceed national nonPP children</w:t>
            </w:r>
            <w:r w:rsidR="009D3E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2415" w:rsidRPr="002954A6" w14:paraId="1AF9F6A4" w14:textId="77777777" w:rsidTr="00E52415">
        <w:trPr>
          <w:trHeight w:val="347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47991DC4" w14:textId="1DCD6CB5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5817C903" w14:textId="1BFAB130" w:rsidR="00E52415" w:rsidRPr="002064E8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2064E8">
              <w:rPr>
                <w:rFonts w:ascii="Arial" w:hAnsi="Arial" w:cs="Arial"/>
                <w:sz w:val="18"/>
                <w:szCs w:val="18"/>
              </w:rPr>
              <w:t xml:space="preserve">Higher achieving children achieving in line or exceeding their peers across KS2 </w:t>
            </w:r>
            <w:r w:rsidR="00E86AB9" w:rsidRPr="002064E8">
              <w:rPr>
                <w:rFonts w:ascii="Arial" w:hAnsi="Arial" w:cs="Arial"/>
                <w:sz w:val="18"/>
                <w:szCs w:val="18"/>
              </w:rPr>
              <w:t xml:space="preserve">in Reading, Writing and Maths </w:t>
            </w:r>
          </w:p>
        </w:tc>
        <w:tc>
          <w:tcPr>
            <w:tcW w:w="5771" w:type="dxa"/>
          </w:tcPr>
          <w:p w14:paraId="23875CA5" w14:textId="7CA746C4" w:rsidR="00E52415" w:rsidRPr="002064E8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2064E8">
              <w:rPr>
                <w:rFonts w:ascii="Arial" w:hAnsi="Arial" w:cs="Arial"/>
                <w:sz w:val="18"/>
                <w:szCs w:val="18"/>
              </w:rPr>
              <w:t>In KS2, hig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>h</w:t>
            </w:r>
            <w:r w:rsidRPr="002064E8">
              <w:rPr>
                <w:rFonts w:ascii="Arial" w:hAnsi="Arial" w:cs="Arial"/>
                <w:sz w:val="18"/>
                <w:szCs w:val="18"/>
              </w:rPr>
              <w:t>er-achieving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 xml:space="preserve"> KS1 pupils attainment in line with peers. In Y6, same as national nonPP Higher achieving children. </w:t>
            </w:r>
          </w:p>
        </w:tc>
      </w:tr>
      <w:tr w:rsidR="00E52415" w:rsidRPr="002954A6" w14:paraId="30B10CF7" w14:textId="77777777" w:rsidTr="00E52415">
        <w:trPr>
          <w:trHeight w:val="33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0277BD1C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469E923E" w14:textId="7809BE05" w:rsidR="00E52415" w:rsidRPr="00AE78F2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5771" w:type="dxa"/>
          </w:tcPr>
          <w:p w14:paraId="30533110" w14:textId="1AB40071" w:rsidR="00E52415" w:rsidRDefault="00C62EF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RWM achievement in the same for PP and nonPP </w:t>
            </w:r>
            <w:r w:rsidR="00AE215D">
              <w:rPr>
                <w:rFonts w:ascii="Arial" w:hAnsi="Arial" w:cs="Arial"/>
                <w:sz w:val="18"/>
                <w:szCs w:val="18"/>
              </w:rPr>
              <w:t>children</w:t>
            </w:r>
          </w:p>
          <w:p w14:paraId="4C5D41C5" w14:textId="5AE42CF2" w:rsidR="00AE215D" w:rsidRPr="00AE78F2" w:rsidRDefault="00AE21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RWM is a performance management target for staff</w:t>
            </w:r>
          </w:p>
        </w:tc>
      </w:tr>
      <w:tr w:rsidR="001E60C0" w:rsidRPr="002954A6" w14:paraId="0E2C4D5E" w14:textId="77777777" w:rsidTr="00E52415">
        <w:trPr>
          <w:trHeight w:val="33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3044170C" w14:textId="77777777" w:rsidR="001E60C0" w:rsidRPr="002954A6" w:rsidRDefault="001E60C0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3F34F4B0" w14:textId="46608097" w:rsidR="001E60C0" w:rsidRDefault="00BE741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provision at lunchtime through additional use of Sports Coaches </w:t>
            </w:r>
          </w:p>
        </w:tc>
        <w:tc>
          <w:tcPr>
            <w:tcW w:w="5771" w:type="dxa"/>
          </w:tcPr>
          <w:p w14:paraId="6D9BD44C" w14:textId="57857B93" w:rsidR="001E60C0" w:rsidRPr="00AE78F2" w:rsidRDefault="00BE741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</w:tr>
    </w:tbl>
    <w:p w14:paraId="134B36E0" w14:textId="77777777" w:rsidR="00577A17" w:rsidRDefault="00577A17" w:rsidP="00577A17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519"/>
      </w:tblGrid>
      <w:tr w:rsidR="00384431" w:rsidRPr="002954A6" w14:paraId="516CA671" w14:textId="77777777" w:rsidTr="00D51342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784EC5E" w14:textId="77777777" w:rsidR="00384431" w:rsidRPr="002954A6" w:rsidRDefault="00384431" w:rsidP="0038443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384431" w:rsidRPr="002954A6" w14:paraId="7D221089" w14:textId="77777777" w:rsidTr="00D51342">
        <w:tc>
          <w:tcPr>
            <w:tcW w:w="2223" w:type="dxa"/>
            <w:shd w:val="clear" w:color="auto" w:fill="auto"/>
            <w:tcMar>
              <w:top w:w="57" w:type="dxa"/>
              <w:bottom w:w="57" w:type="dxa"/>
            </w:tcMar>
          </w:tcPr>
          <w:p w14:paraId="503A2427" w14:textId="77777777" w:rsidR="00384431" w:rsidRPr="002954A6" w:rsidRDefault="00384431" w:rsidP="00BF0CE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9" w:type="dxa"/>
            <w:gridSpan w:val="5"/>
            <w:shd w:val="clear" w:color="auto" w:fill="auto"/>
          </w:tcPr>
          <w:p w14:paraId="6189C39C" w14:textId="77777777" w:rsidR="00384431" w:rsidRPr="002954A6" w:rsidRDefault="00384431" w:rsidP="00BF0CE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384431" w:rsidRPr="002954A6" w14:paraId="42ABA33A" w14:textId="77777777" w:rsidTr="00D51342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E141F2" w14:textId="77777777" w:rsidR="00384431" w:rsidRPr="002954A6" w:rsidRDefault="00384431" w:rsidP="00BF0CE1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384431" w:rsidRPr="002954A6" w14:paraId="502BC9BD" w14:textId="77777777" w:rsidTr="00D51342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A1B865" w14:textId="77777777" w:rsidR="00384431" w:rsidRPr="002954A6" w:rsidRDefault="00384431" w:rsidP="00384431">
            <w:pPr>
              <w:pStyle w:val="ListParagraph"/>
              <w:numPr>
                <w:ilvl w:val="0"/>
                <w:numId w:val="5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384431" w:rsidRPr="002954A6" w14:paraId="474D4FA3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3AE749B4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56034366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797" w:type="dxa"/>
            <w:shd w:val="clear" w:color="auto" w:fill="auto"/>
            <w:tcMar>
              <w:top w:w="57" w:type="dxa"/>
              <w:bottom w:w="57" w:type="dxa"/>
            </w:tcMar>
          </w:tcPr>
          <w:p w14:paraId="563D850F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11266499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38" w:type="dxa"/>
            <w:shd w:val="clear" w:color="auto" w:fill="auto"/>
          </w:tcPr>
          <w:p w14:paraId="08EDF463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519" w:type="dxa"/>
          </w:tcPr>
          <w:p w14:paraId="2BC53349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84431" w:rsidRPr="002954A6" w14:paraId="13170A52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7BF4EB11" w14:textId="64D6090F" w:rsidR="00384431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  <w:r w:rsidR="00D72D02">
              <w:rPr>
                <w:rFonts w:ascii="Arial" w:hAnsi="Arial" w:cs="Arial"/>
                <w:sz w:val="18"/>
                <w:szCs w:val="18"/>
              </w:rPr>
              <w:t xml:space="preserve"> / KS1</w:t>
            </w:r>
          </w:p>
          <w:p w14:paraId="7DEAD69F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422523" w14:textId="77777777" w:rsidR="00384431" w:rsidRPr="00AE78F2" w:rsidRDefault="00384431" w:rsidP="004E73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2B9787FB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high quality feedback.</w:t>
            </w:r>
          </w:p>
          <w:p w14:paraId="6F4880F9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8B3A9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developing oracy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 from EYFS/Reception SLE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7" w:type="dxa"/>
            <w:shd w:val="clear" w:color="auto" w:fill="auto"/>
            <w:tcMar>
              <w:top w:w="57" w:type="dxa"/>
              <w:bottom w:w="57" w:type="dxa"/>
            </w:tcMar>
          </w:tcPr>
          <w:p w14:paraId="5661471D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want to invest some of the PP in longer term change which will help all pupils. Many different evidence sources, e.g. </w:t>
            </w:r>
            <w:r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137513F2" w14:textId="0C059A39" w:rsidR="00384431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on CLLD to ensure appropriate interventions are well run.</w:t>
            </w:r>
          </w:p>
          <w:p w14:paraId="4DFA2C83" w14:textId="77777777" w:rsidR="001800E3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DD023" w14:textId="7DDA2543" w:rsidR="001800E3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language skills for target children through baseline assessment and end of project to </w:t>
            </w:r>
          </w:p>
          <w:p w14:paraId="3DC0702A" w14:textId="77777777" w:rsidR="001800E3" w:rsidRPr="00AE78F2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AF88B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38" w:type="dxa"/>
            <w:shd w:val="clear" w:color="auto" w:fill="auto"/>
          </w:tcPr>
          <w:p w14:paraId="7D2DB44A" w14:textId="77777777" w:rsidR="00E64E74" w:rsidRDefault="00E64E74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for EYFS / KS1</w:t>
            </w:r>
          </w:p>
          <w:p w14:paraId="5D6A6654" w14:textId="77777777" w:rsidR="00E64E74" w:rsidRDefault="00E64E74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DA6DE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519" w:type="dxa"/>
          </w:tcPr>
          <w:p w14:paraId="34A7593B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384431" w:rsidRPr="002954A6" w14:paraId="5F7DC2E0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75F3B61D" w14:textId="5A2A4708" w:rsidR="00384431" w:rsidRPr="004841B6" w:rsidRDefault="00A31906" w:rsidP="004841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841B6"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 in reading</w:t>
            </w:r>
          </w:p>
          <w:p w14:paraId="219E7DEF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5A20295" w14:textId="10C69E79" w:rsidR="00755F33" w:rsidRDefault="00755F3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reading training</w:t>
            </w:r>
            <w:r w:rsidR="00D517B1">
              <w:rPr>
                <w:rFonts w:ascii="Arial" w:hAnsi="Arial" w:cs="Arial"/>
                <w:sz w:val="18"/>
                <w:szCs w:val="18"/>
              </w:rPr>
              <w:t xml:space="preserve"> for all staff</w:t>
            </w:r>
          </w:p>
          <w:p w14:paraId="550C21C5" w14:textId="1D3837EF" w:rsidR="005F28F3" w:rsidRDefault="00755F3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challenge of books </w:t>
            </w:r>
            <w:r w:rsidR="00DA500C">
              <w:rPr>
                <w:rFonts w:ascii="Arial" w:hAnsi="Arial" w:cs="Arial"/>
                <w:sz w:val="18"/>
                <w:szCs w:val="18"/>
              </w:rPr>
              <w:t>provided for pupils</w:t>
            </w:r>
          </w:p>
          <w:p w14:paraId="2EBA48D9" w14:textId="77777777" w:rsidR="005F28F3" w:rsidRDefault="005F28F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canon of literature for pupils at Moor Park</w:t>
            </w:r>
          </w:p>
          <w:p w14:paraId="65E5DE2F" w14:textId="77777777" w:rsidR="00254744" w:rsidRDefault="00254744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Strengthen teacher assessment</w:t>
            </w:r>
          </w:p>
          <w:p w14:paraId="3E898E23" w14:textId="77777777" w:rsidR="004841B6" w:rsidRPr="004841B6" w:rsidRDefault="004841B6" w:rsidP="00BF0C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1B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Regular reading within KS2 </w:t>
            </w:r>
          </w:p>
          <w:p w14:paraId="5851F5FE" w14:textId="37CB29E6" w:rsidR="004841B6" w:rsidRPr="00AE78F2" w:rsidRDefault="004841B6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4841B6">
              <w:rPr>
                <w:rFonts w:ascii="Arial" w:hAnsi="Arial" w:cs="Arial"/>
                <w:sz w:val="18"/>
                <w:szCs w:val="18"/>
                <w:highlight w:val="yellow"/>
              </w:rPr>
              <w:t>Development of home 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3FFBADA" w14:textId="77777777" w:rsidR="0000775E" w:rsidRDefault="005F28F3" w:rsidP="000077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from Reading Reconsidered and Good Habits of Great Readers </w:t>
            </w:r>
            <w:r w:rsidR="0000775E">
              <w:rPr>
                <w:rFonts w:ascii="Arial" w:hAnsi="Arial" w:cs="Arial"/>
                <w:sz w:val="18"/>
                <w:szCs w:val="18"/>
              </w:rPr>
              <w:t>shows that high quality guided reading where children read challenging books from contemporary authors blended with books written between 1920 and 1960 improves reading ability</w:t>
            </w:r>
          </w:p>
          <w:p w14:paraId="34B02E1D" w14:textId="77777777" w:rsidR="004841B6" w:rsidRDefault="004841B6" w:rsidP="000077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6E5A4" w14:textId="1BEB1C40" w:rsidR="004841B6" w:rsidRPr="00AE78F2" w:rsidRDefault="004841B6" w:rsidP="000077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57EB8CC0" w14:textId="02839392" w:rsidR="0000775E" w:rsidRP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775E">
              <w:rPr>
                <w:rFonts w:ascii="Arial" w:hAnsi="Arial" w:cs="Arial"/>
                <w:sz w:val="18"/>
                <w:szCs w:val="18"/>
              </w:rPr>
              <w:t>Monitoring of reading ages</w:t>
            </w:r>
          </w:p>
          <w:p w14:paraId="60BF9384" w14:textId="77777777" w:rsid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775E">
              <w:rPr>
                <w:rFonts w:ascii="Arial" w:hAnsi="Arial" w:cs="Arial"/>
                <w:sz w:val="18"/>
                <w:szCs w:val="18"/>
              </w:rPr>
              <w:t>LAPs documents to record progress and inform planning will be monitored</w:t>
            </w:r>
          </w:p>
          <w:p w14:paraId="707A61BB" w14:textId="220437C0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optional tests in KS2</w:t>
            </w:r>
          </w:p>
          <w:p w14:paraId="42C767D6" w14:textId="76E7456B" w:rsidR="00C22ECA" w:rsidRDefault="00C22EC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in Y6 to close gaps</w:t>
            </w:r>
          </w:p>
          <w:p w14:paraId="47F5011B" w14:textId="77777777" w:rsidR="00254744" w:rsidRPr="0000775E" w:rsidRDefault="00254744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29C5E" w14:textId="4AEDD915" w:rsidR="0000775E" w:rsidRP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25A7790D" w14:textId="16DB7B1F" w:rsidR="00384431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for KS2</w:t>
            </w:r>
          </w:p>
          <w:p w14:paraId="7D0F1AD7" w14:textId="77777777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7EA376" w14:textId="0B51CDDF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Head</w:t>
            </w:r>
          </w:p>
          <w:p w14:paraId="7125826F" w14:textId="77777777" w:rsidR="0000775E" w:rsidRPr="00AE78F2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14:paraId="77AD5250" w14:textId="77777777" w:rsidR="00384431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2016</w:t>
            </w:r>
          </w:p>
          <w:p w14:paraId="42B754B1" w14:textId="77777777" w:rsid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March 2017 </w:t>
            </w:r>
          </w:p>
          <w:p w14:paraId="4709D6AF" w14:textId="38A61E77" w:rsidR="0000775E" w:rsidRPr="00AE78F2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2017 </w:t>
            </w:r>
          </w:p>
        </w:tc>
      </w:tr>
      <w:tr w:rsidR="00823B5D" w:rsidRPr="002954A6" w14:paraId="166A5946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62FE45DC" w14:textId="3E1E9F1E" w:rsidR="00823B5D" w:rsidRPr="001E175D" w:rsidRDefault="00823B5D" w:rsidP="001E1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E175D"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BB6695C" w14:textId="77777777" w:rsidR="00823B5D" w:rsidRDefault="00823B5D" w:rsidP="00E80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for RWM combined set as part of appraisal cycle</w:t>
            </w:r>
          </w:p>
          <w:p w14:paraId="4FCB03CE" w14:textId="5FF4B620" w:rsidR="00823B5D" w:rsidRPr="00AE78F2" w:rsidRDefault="00823B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interventions for pupils that close gaps identified on LAPs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9FBE34F" w14:textId="04D738D0" w:rsidR="00823B5D" w:rsidRPr="00427E38" w:rsidRDefault="00823B5D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Tracking of RWM on a </w:t>
            </w:r>
            <w:r w:rsidR="003F036E"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regular basis</w:t>
            </w: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identi</w:t>
            </w:r>
            <w:r w:rsidR="003F036E"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fy key pupils for interventions: End of</w:t>
            </w:r>
          </w:p>
          <w:p w14:paraId="524EE526" w14:textId="77777777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Nov</w:t>
            </w:r>
          </w:p>
          <w:p w14:paraId="37B9D0BA" w14:textId="20C15620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Feb</w:t>
            </w:r>
          </w:p>
          <w:p w14:paraId="31533A94" w14:textId="0AE7B73E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 April</w:t>
            </w:r>
          </w:p>
          <w:p w14:paraId="60FAFDF4" w14:textId="7D63765F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</w:p>
          <w:p w14:paraId="6BC111CC" w14:textId="436EC0D0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July</w:t>
            </w:r>
          </w:p>
          <w:p w14:paraId="40F513A2" w14:textId="77777777" w:rsidR="003F036E" w:rsidRPr="00427E38" w:rsidRDefault="003F036E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7CC0FD" w14:textId="75D6F3AB" w:rsidR="003F036E" w:rsidRPr="00427E38" w:rsidRDefault="003F036E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Half termly data health check to identify pupils off track</w:t>
            </w:r>
          </w:p>
          <w:p w14:paraId="5F4C26F0" w14:textId="77777777" w:rsidR="00823B5D" w:rsidRPr="00427E38" w:rsidRDefault="00823B5D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5DCB7B" w14:textId="77777777" w:rsidR="00823B5D" w:rsidRPr="00427E38" w:rsidRDefault="00823B5D" w:rsidP="00A447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54FF74DE" w14:textId="0182CF75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Moderation staff meetings to build capacity in teacher moderation</w:t>
            </w:r>
          </w:p>
          <w:p w14:paraId="3B53F8C3" w14:textId="6A2B0F3E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test data to benchmark against</w:t>
            </w:r>
          </w:p>
        </w:tc>
        <w:tc>
          <w:tcPr>
            <w:tcW w:w="1238" w:type="dxa"/>
            <w:shd w:val="clear" w:color="auto" w:fill="auto"/>
          </w:tcPr>
          <w:p w14:paraId="1F7B2AD5" w14:textId="10F4A2E8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Staff</w:t>
            </w:r>
          </w:p>
        </w:tc>
        <w:tc>
          <w:tcPr>
            <w:tcW w:w="1519" w:type="dxa"/>
            <w:shd w:val="clear" w:color="auto" w:fill="auto"/>
          </w:tcPr>
          <w:p w14:paraId="510A2230" w14:textId="77777777" w:rsidR="003F036E" w:rsidRPr="00427E38" w:rsidRDefault="003F036E" w:rsidP="003F03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Nov</w:t>
            </w:r>
          </w:p>
          <w:p w14:paraId="0CCE5D43" w14:textId="77777777" w:rsidR="003F036E" w:rsidRPr="00427E38" w:rsidRDefault="003F036E" w:rsidP="003F03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Feb</w:t>
            </w:r>
          </w:p>
          <w:p w14:paraId="63DC944D" w14:textId="77777777" w:rsidR="003F036E" w:rsidRPr="00427E38" w:rsidRDefault="003F036E" w:rsidP="003F03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 April</w:t>
            </w:r>
          </w:p>
          <w:p w14:paraId="20323A52" w14:textId="77777777" w:rsidR="003F036E" w:rsidRPr="00427E38" w:rsidRDefault="003F036E" w:rsidP="003F03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</w:p>
          <w:p w14:paraId="41F4284B" w14:textId="77777777" w:rsidR="003F036E" w:rsidRPr="00427E38" w:rsidRDefault="003F036E" w:rsidP="003F03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July</w:t>
            </w:r>
          </w:p>
          <w:p w14:paraId="5326E6A0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23B5D" w:rsidRPr="002954A6" w14:paraId="6209DB79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0C4B1497" w14:textId="24A4280B" w:rsidR="00823B5D" w:rsidRPr="001E175D" w:rsidRDefault="003F036E" w:rsidP="001E1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761A838" w14:textId="2C4C7B2D" w:rsidR="003F036E" w:rsidRPr="00AE78F2" w:rsidRDefault="003F036E" w:rsidP="00F25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organised sporting / play activities for pupils at a lunchtime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5728A380" w14:textId="77777777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We know that when games and activities are organised, pupils respond positively to the structure.</w:t>
            </w:r>
          </w:p>
          <w:p w14:paraId="387F2B22" w14:textId="22698809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 will work with BfC Community Trust, the Learning Mentor and the DHT to provide a series of organised games for pupils. 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01A69970" w14:textId="2F76906E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Compare incidents to previous year. </w:t>
            </w:r>
          </w:p>
        </w:tc>
        <w:tc>
          <w:tcPr>
            <w:tcW w:w="1238" w:type="dxa"/>
            <w:shd w:val="clear" w:color="auto" w:fill="auto"/>
          </w:tcPr>
          <w:p w14:paraId="728F9803" w14:textId="77777777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Welfare</w:t>
            </w:r>
          </w:p>
          <w:p w14:paraId="485CF819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BfC</w:t>
            </w:r>
          </w:p>
          <w:p w14:paraId="64622DF2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DHT</w:t>
            </w:r>
          </w:p>
          <w:p w14:paraId="6F59083F" w14:textId="28695B96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1519" w:type="dxa"/>
            <w:shd w:val="clear" w:color="auto" w:fill="auto"/>
          </w:tcPr>
          <w:p w14:paraId="459E3952" w14:textId="6CEB462F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End Dec</w:t>
            </w:r>
          </w:p>
        </w:tc>
      </w:tr>
      <w:tr w:rsidR="00823B5D" w:rsidRPr="002954A6" w14:paraId="11C65B69" w14:textId="77777777" w:rsidTr="00D51342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76A9FA44" w14:textId="2589896A" w:rsidR="00823B5D" w:rsidRPr="002954A6" w:rsidRDefault="00823B5D" w:rsidP="00BF0CE1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519" w:type="dxa"/>
          </w:tcPr>
          <w:p w14:paraId="71F2FC4F" w14:textId="18F057DC" w:rsidR="00823B5D" w:rsidRPr="002954A6" w:rsidRDefault="00823B5D" w:rsidP="003F036E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</w:tbl>
    <w:p w14:paraId="11FC554B" w14:textId="77777777" w:rsidR="003F036E" w:rsidRDefault="003F036E" w:rsidP="003F036E">
      <w:pPr>
        <w:pStyle w:val="ListParagraph"/>
        <w:rPr>
          <w:rFonts w:ascii="Arial" w:hAnsi="Arial" w:cs="Arial"/>
          <w:b/>
        </w:rPr>
        <w:sectPr w:rsidR="003F036E" w:rsidSect="00791F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407"/>
      </w:tblGrid>
      <w:tr w:rsidR="00823B5D" w:rsidRPr="002954A6" w14:paraId="7B77420C" w14:textId="77777777" w:rsidTr="00427E38">
        <w:tc>
          <w:tcPr>
            <w:tcW w:w="14880" w:type="dxa"/>
            <w:gridSpan w:val="6"/>
            <w:tcMar>
              <w:top w:w="57" w:type="dxa"/>
              <w:bottom w:w="57" w:type="dxa"/>
            </w:tcMar>
          </w:tcPr>
          <w:p w14:paraId="01AD969A" w14:textId="78C0A810" w:rsidR="00823B5D" w:rsidRPr="003F036E" w:rsidRDefault="00823B5D" w:rsidP="003F036E">
            <w:pPr>
              <w:rPr>
                <w:rFonts w:ascii="Arial" w:hAnsi="Arial" w:cs="Arial"/>
                <w:b/>
              </w:rPr>
            </w:pPr>
            <w:r w:rsidRPr="003F036E">
              <w:rPr>
                <w:rFonts w:ascii="Arial" w:hAnsi="Arial" w:cs="Arial"/>
                <w:b/>
              </w:rPr>
              <w:t>Targeted support</w:t>
            </w:r>
          </w:p>
        </w:tc>
      </w:tr>
      <w:tr w:rsidR="00823B5D" w:rsidRPr="002954A6" w14:paraId="6C061581" w14:textId="77777777" w:rsidTr="00427E38">
        <w:tc>
          <w:tcPr>
            <w:tcW w:w="2223" w:type="dxa"/>
            <w:tcMar>
              <w:top w:w="57" w:type="dxa"/>
              <w:bottom w:w="57" w:type="dxa"/>
            </w:tcMar>
          </w:tcPr>
          <w:p w14:paraId="292DB7BB" w14:textId="77777777" w:rsidR="00823B5D" w:rsidRPr="002954A6" w:rsidRDefault="00823B5D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59EE4498" w14:textId="77777777" w:rsidR="00823B5D" w:rsidRPr="002954A6" w:rsidRDefault="00823B5D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24CA55E2" w14:textId="77777777" w:rsidR="00823B5D" w:rsidRPr="002954A6" w:rsidRDefault="00823B5D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014D90B4" w14:textId="08B52AE6" w:rsidR="00823B5D" w:rsidRPr="002954A6" w:rsidRDefault="00823B5D" w:rsidP="00EE582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How </w:t>
            </w:r>
            <w:r w:rsidR="00EE582D">
              <w:rPr>
                <w:rFonts w:ascii="Arial" w:hAnsi="Arial" w:cs="Arial"/>
                <w:b/>
              </w:rPr>
              <w:t>we will measure the impact</w:t>
            </w:r>
          </w:p>
        </w:tc>
        <w:tc>
          <w:tcPr>
            <w:tcW w:w="1238" w:type="dxa"/>
          </w:tcPr>
          <w:p w14:paraId="17B4F574" w14:textId="77777777" w:rsidR="00823B5D" w:rsidRPr="002954A6" w:rsidRDefault="00823B5D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07" w:type="dxa"/>
          </w:tcPr>
          <w:p w14:paraId="14390F21" w14:textId="77777777" w:rsidR="00823B5D" w:rsidRPr="00262114" w:rsidRDefault="00823B5D" w:rsidP="00BF0CE1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036E" w:rsidRPr="002954A6" w14:paraId="71CC20AC" w14:textId="77777777" w:rsidTr="00427E38">
        <w:tc>
          <w:tcPr>
            <w:tcW w:w="2223" w:type="dxa"/>
            <w:tcMar>
              <w:top w:w="57" w:type="dxa"/>
              <w:bottom w:w="57" w:type="dxa"/>
            </w:tcMar>
          </w:tcPr>
          <w:p w14:paraId="0909B008" w14:textId="76B78044" w:rsidR="003F036E" w:rsidRDefault="003F036E" w:rsidP="005E1C9B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Improved oral language skills in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/ KS1</w:t>
            </w:r>
          </w:p>
          <w:p w14:paraId="53B2CD3D" w14:textId="77777777" w:rsidR="003F036E" w:rsidRPr="00AE78F2" w:rsidRDefault="003F036E" w:rsidP="005E1C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4277E" w14:textId="77777777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21F8AD3A" w14:textId="034DF345" w:rsidR="003F036E" w:rsidRDefault="008A5B7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</w:t>
            </w:r>
            <w:r w:rsidR="005537FA">
              <w:rPr>
                <w:rFonts w:ascii="Arial" w:hAnsi="Arial" w:cs="Arial"/>
                <w:sz w:val="18"/>
                <w:szCs w:val="18"/>
              </w:rPr>
              <w:t xml:space="preserve"> in KS</w:t>
            </w:r>
            <w:r>
              <w:rPr>
                <w:rFonts w:ascii="Arial" w:hAnsi="Arial" w:cs="Arial"/>
                <w:sz w:val="18"/>
                <w:szCs w:val="18"/>
              </w:rPr>
              <w:t>1 to work with small groups on interventions:</w:t>
            </w:r>
          </w:p>
          <w:p w14:paraId="257BDD8C" w14:textId="0A2E0168" w:rsidR="008A5B7D" w:rsidRPr="00004FB6" w:rsidRDefault="008A5B7D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84E3604" w14:textId="77777777" w:rsidR="003F036E" w:rsidRDefault="001E00F2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know our pupils have </w:t>
            </w:r>
            <w:r w:rsidR="00DE44D6">
              <w:rPr>
                <w:rFonts w:ascii="Arial" w:hAnsi="Arial" w:cs="Arial"/>
                <w:sz w:val="18"/>
                <w:szCs w:val="18"/>
              </w:rPr>
              <w:t xml:space="preserve">lower oral language skills which can impact on social behaviours and academic achievement. Staff have had training </w:t>
            </w:r>
            <w:r w:rsidR="00146A03">
              <w:rPr>
                <w:rFonts w:ascii="Arial" w:hAnsi="Arial" w:cs="Arial"/>
                <w:sz w:val="18"/>
                <w:szCs w:val="18"/>
              </w:rPr>
              <w:t>in the following interventions:</w:t>
            </w:r>
          </w:p>
          <w:p w14:paraId="1BEF165C" w14:textId="14098F71" w:rsidR="00146A03" w:rsidRPr="00004FB6" w:rsidRDefault="00146A03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3E397A60" w14:textId="34C343E1" w:rsidR="003F036E" w:rsidRPr="00004FB6" w:rsidRDefault="00C27652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pupils involved in interventions on a half termly basis</w:t>
            </w:r>
            <w:r w:rsidR="00A301EE">
              <w:rPr>
                <w:rFonts w:ascii="Arial" w:hAnsi="Arial" w:cs="Arial"/>
                <w:sz w:val="18"/>
                <w:szCs w:val="18"/>
              </w:rPr>
              <w:t xml:space="preserve">, adapt children in interventions once gaps have gone. </w:t>
            </w:r>
          </w:p>
        </w:tc>
        <w:tc>
          <w:tcPr>
            <w:tcW w:w="1238" w:type="dxa"/>
          </w:tcPr>
          <w:p w14:paraId="3E187C22" w14:textId="51CDE1F8" w:rsidR="003F036E" w:rsidRPr="00004FB6" w:rsidRDefault="00A301E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 Rhodes</w:t>
            </w:r>
          </w:p>
        </w:tc>
        <w:tc>
          <w:tcPr>
            <w:tcW w:w="1407" w:type="dxa"/>
          </w:tcPr>
          <w:p w14:paraId="4C5EF43A" w14:textId="6262CB6C" w:rsidR="003F036E" w:rsidRPr="00004FB6" w:rsidRDefault="00A301E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Every Half term. </w:t>
            </w:r>
          </w:p>
        </w:tc>
      </w:tr>
      <w:tr w:rsidR="003F036E" w:rsidRPr="002954A6" w14:paraId="42079634" w14:textId="77777777" w:rsidTr="00427E38">
        <w:tc>
          <w:tcPr>
            <w:tcW w:w="2223" w:type="dxa"/>
            <w:tcMar>
              <w:top w:w="57" w:type="dxa"/>
              <w:bottom w:w="57" w:type="dxa"/>
            </w:tcMar>
          </w:tcPr>
          <w:p w14:paraId="0D788F0E" w14:textId="7B7B2359" w:rsidR="003F036E" w:rsidRPr="003F036E" w:rsidRDefault="003F036E" w:rsidP="003F036E">
            <w:pPr>
              <w:rPr>
                <w:rFonts w:ascii="Arial" w:hAnsi="Arial" w:cs="Arial"/>
                <w:sz w:val="18"/>
                <w:szCs w:val="18"/>
              </w:rPr>
            </w:pPr>
            <w:r w:rsidRPr="003F036E"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 in reading</w:t>
            </w:r>
          </w:p>
          <w:p w14:paraId="3F0E4AE3" w14:textId="77777777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3197C75" w14:textId="77777777" w:rsidR="003F036E" w:rsidRDefault="00427E3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Invest in reading material for the library </w:t>
            </w:r>
          </w:p>
          <w:p w14:paraId="09CCDFA2" w14:textId="77777777" w:rsidR="0023112D" w:rsidRDefault="0023112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TA support for readers during the week</w:t>
            </w:r>
          </w:p>
          <w:p w14:paraId="13ABF2D7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BCF97" w14:textId="468FE34B" w:rsidR="00F0373C" w:rsidRPr="00004FB6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Accelerated Reader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190F8F23" w14:textId="77777777" w:rsidR="003F036E" w:rsidRDefault="0023112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read a wide range of books and are listened to regularly make good or better progress</w:t>
            </w:r>
          </w:p>
          <w:p w14:paraId="04F2F1DB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5249D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7A7A0" w14:textId="4CCA94DE" w:rsidR="00F0373C" w:rsidRPr="00004FB6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EEF toolkit showed promising impact. 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12BDEFFA" w14:textId="77777777" w:rsidR="003F036E" w:rsidRDefault="0023112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ages provide a benchmark.</w:t>
            </w:r>
          </w:p>
          <w:p w14:paraId="1BAC0FCE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71E57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3B48A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1F02B" w14:textId="77777777" w:rsidR="00F0373C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681CF" w14:textId="3F5779E3" w:rsidR="00F0373C" w:rsidRPr="00004FB6" w:rsidRDefault="00F0373C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of staff responsible </w:t>
            </w:r>
          </w:p>
        </w:tc>
        <w:tc>
          <w:tcPr>
            <w:tcW w:w="1238" w:type="dxa"/>
          </w:tcPr>
          <w:p w14:paraId="794ED67C" w14:textId="661AD0AB" w:rsidR="003F036E" w:rsidRPr="00004FB6" w:rsidRDefault="0023112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07" w:type="dxa"/>
          </w:tcPr>
          <w:p w14:paraId="60874FA7" w14:textId="77777777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36E" w:rsidRPr="002954A6" w14:paraId="6B43F21F" w14:textId="77777777" w:rsidTr="00427E38">
        <w:tc>
          <w:tcPr>
            <w:tcW w:w="2223" w:type="dxa"/>
            <w:tcMar>
              <w:top w:w="57" w:type="dxa"/>
              <w:bottom w:w="57" w:type="dxa"/>
            </w:tcMar>
          </w:tcPr>
          <w:p w14:paraId="571E8C9C" w14:textId="6514C328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1E175D"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7F28B34B" w14:textId="79A04886" w:rsidR="003F036E" w:rsidRDefault="00427E3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interventions</w:t>
            </w:r>
            <w:r w:rsidR="008A5B7D">
              <w:rPr>
                <w:rFonts w:ascii="Arial" w:hAnsi="Arial" w:cs="Arial"/>
                <w:sz w:val="18"/>
                <w:szCs w:val="18"/>
              </w:rPr>
              <w:t xml:space="preserve"> run by TAs</w:t>
            </w:r>
          </w:p>
          <w:p w14:paraId="11061B56" w14:textId="77777777" w:rsidR="00427E38" w:rsidRDefault="00427E3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27E3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 Number 1 &amp; 2</w:t>
            </w:r>
          </w:p>
          <w:p w14:paraId="484C0928" w14:textId="77777777" w:rsidR="00427E38" w:rsidRDefault="00427E3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Rapid Read / Write</w:t>
            </w:r>
          </w:p>
          <w:p w14:paraId="5B2D6DBE" w14:textId="77777777" w:rsidR="00427E38" w:rsidRDefault="00427E3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Rapid Phonics</w:t>
            </w:r>
          </w:p>
          <w:p w14:paraId="0F57E543" w14:textId="77777777" w:rsidR="00427E38" w:rsidRDefault="00427E3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IDL</w:t>
            </w:r>
          </w:p>
          <w:p w14:paraId="0B962636" w14:textId="77777777" w:rsidR="00427E38" w:rsidRDefault="00427E3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Easimaths</w:t>
            </w:r>
          </w:p>
          <w:p w14:paraId="7F31FDFD" w14:textId="77777777" w:rsidR="00BE7418" w:rsidRDefault="00BE741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 Table Rock Stars</w:t>
            </w:r>
          </w:p>
          <w:p w14:paraId="3BE9D61C" w14:textId="77777777" w:rsidR="00BE7418" w:rsidRDefault="00BE7418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4A0524AC" w14:textId="1A44AB01" w:rsidR="00266A2D" w:rsidRPr="00427E38" w:rsidRDefault="00266A2D" w:rsidP="00427E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Accelerated Reader 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02D40B35" w14:textId="77777777" w:rsidR="003F036E" w:rsidRDefault="00D51342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These small group interventions work at closing identified gaps in pupils learning. </w:t>
            </w:r>
          </w:p>
          <w:p w14:paraId="425CB8D2" w14:textId="015F6B79" w:rsidR="00B11310" w:rsidRPr="00004FB6" w:rsidRDefault="00B11310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632D3A7B" w14:textId="65A115C5" w:rsidR="003F036E" w:rsidRPr="00004FB6" w:rsidRDefault="00D51342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Tracking of pupil on entry and exit to ensure the intervention is working</w:t>
            </w:r>
            <w:r w:rsidR="002F77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8" w:type="dxa"/>
          </w:tcPr>
          <w:p w14:paraId="59296576" w14:textId="6FCD0A71" w:rsidR="003F036E" w:rsidRPr="00004FB6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led under teacher direction </w:t>
            </w:r>
          </w:p>
        </w:tc>
        <w:tc>
          <w:tcPr>
            <w:tcW w:w="1407" w:type="dxa"/>
          </w:tcPr>
          <w:p w14:paraId="24264579" w14:textId="5B0C370C" w:rsidR="003F036E" w:rsidRPr="00004FB6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every intervention cycle </w:t>
            </w:r>
          </w:p>
        </w:tc>
      </w:tr>
      <w:tr w:rsidR="003F036E" w:rsidRPr="002954A6" w14:paraId="7A0B597B" w14:textId="77777777" w:rsidTr="00427E38">
        <w:tc>
          <w:tcPr>
            <w:tcW w:w="2223" w:type="dxa"/>
            <w:tcMar>
              <w:top w:w="57" w:type="dxa"/>
              <w:bottom w:w="57" w:type="dxa"/>
            </w:tcMar>
          </w:tcPr>
          <w:p w14:paraId="79FDF41E" w14:textId="14C7CC1D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2D1AA7EA" w14:textId="77777777" w:rsidR="003F036E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quiet area at a lunchtime for pupils</w:t>
            </w:r>
          </w:p>
          <w:p w14:paraId="64917B98" w14:textId="77777777" w:rsidR="00AA214A" w:rsidRDefault="00AA214A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8FACC" w14:textId="77777777" w:rsidR="00AA214A" w:rsidRDefault="00AA214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training for Y5 pupils to become leads at lunchtime</w:t>
            </w:r>
          </w:p>
          <w:p w14:paraId="3C3F74EC" w14:textId="77777777" w:rsidR="00AA214A" w:rsidRDefault="00AA214A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5617E" w14:textId="77777777" w:rsidR="00AA214A" w:rsidRDefault="00AA214A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B1325" w14:textId="4F4B0FC6" w:rsidR="00AA214A" w:rsidRPr="00004FB6" w:rsidRDefault="00AA214A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BD2F351" w14:textId="2B40B934" w:rsidR="003F036E" w:rsidRPr="00004FB6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know some pupils behaviour in class spills over from lunchtime issues. We know that if pupils have a smooth start to the afternoon, they are more likely to be successful and have the right attitude to learning. 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77C2D59C" w14:textId="56E45DC1" w:rsidR="003F036E" w:rsidRPr="00004FB6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identified at a lunchtime will be directed to the quiet areas</w:t>
            </w:r>
          </w:p>
        </w:tc>
        <w:tc>
          <w:tcPr>
            <w:tcW w:w="1238" w:type="dxa"/>
          </w:tcPr>
          <w:p w14:paraId="0889A94D" w14:textId="11ED9553" w:rsidR="003F036E" w:rsidRPr="00004FB6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 / AZ</w:t>
            </w:r>
          </w:p>
        </w:tc>
        <w:tc>
          <w:tcPr>
            <w:tcW w:w="1407" w:type="dxa"/>
          </w:tcPr>
          <w:p w14:paraId="2430AA8B" w14:textId="62864D51" w:rsidR="003F036E" w:rsidRPr="00004FB6" w:rsidRDefault="002F7731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half term</w:t>
            </w:r>
          </w:p>
        </w:tc>
      </w:tr>
      <w:tr w:rsidR="003F036E" w:rsidRPr="002954A6" w14:paraId="5922EF4E" w14:textId="77777777" w:rsidTr="00427E38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2074AC5C" w14:textId="26AA0BC0" w:rsidR="003F036E" w:rsidRPr="002954A6" w:rsidRDefault="003F036E" w:rsidP="00BF0CE1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07" w:type="dxa"/>
          </w:tcPr>
          <w:p w14:paraId="370515D2" w14:textId="6E8D30A9" w:rsidR="003F036E" w:rsidRPr="002954A6" w:rsidRDefault="003F036E" w:rsidP="00427E3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</w:tbl>
    <w:p w14:paraId="0F5FCF71" w14:textId="77777777" w:rsidR="003F036E" w:rsidRDefault="003F036E" w:rsidP="00384431">
      <w:pPr>
        <w:pStyle w:val="ListParagraph"/>
        <w:numPr>
          <w:ilvl w:val="0"/>
          <w:numId w:val="6"/>
        </w:numPr>
        <w:ind w:left="426" w:hanging="142"/>
        <w:rPr>
          <w:rFonts w:ascii="Arial" w:hAnsi="Arial" w:cs="Arial"/>
          <w:b/>
        </w:rPr>
        <w:sectPr w:rsidR="003F036E" w:rsidSect="00791F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407"/>
      </w:tblGrid>
      <w:tr w:rsidR="003F036E" w:rsidRPr="002954A6" w14:paraId="325CB65C" w14:textId="77777777" w:rsidTr="003F036E">
        <w:trPr>
          <w:trHeight w:hRule="exact" w:val="312"/>
        </w:trPr>
        <w:tc>
          <w:tcPr>
            <w:tcW w:w="14880" w:type="dxa"/>
            <w:gridSpan w:val="6"/>
            <w:tcMar>
              <w:top w:w="57" w:type="dxa"/>
              <w:bottom w:w="57" w:type="dxa"/>
            </w:tcMar>
          </w:tcPr>
          <w:p w14:paraId="2C437142" w14:textId="18F879A8" w:rsidR="003F036E" w:rsidRPr="002954A6" w:rsidRDefault="003F036E" w:rsidP="00384431">
            <w:pPr>
              <w:pStyle w:val="ListParagraph"/>
              <w:numPr>
                <w:ilvl w:val="0"/>
                <w:numId w:val="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3F036E" w:rsidRPr="002954A6" w14:paraId="73EBE78A" w14:textId="77777777" w:rsidTr="003F036E">
        <w:tc>
          <w:tcPr>
            <w:tcW w:w="2223" w:type="dxa"/>
            <w:tcMar>
              <w:top w:w="57" w:type="dxa"/>
              <w:bottom w:w="57" w:type="dxa"/>
            </w:tcMar>
          </w:tcPr>
          <w:p w14:paraId="29CCC8E8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0442BD2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251F254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5CCA4E97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38" w:type="dxa"/>
          </w:tcPr>
          <w:p w14:paraId="5835DB09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07" w:type="dxa"/>
          </w:tcPr>
          <w:p w14:paraId="2520BC7E" w14:textId="77777777" w:rsidR="003F036E" w:rsidRPr="00262114" w:rsidRDefault="003F036E" w:rsidP="00BF0CE1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036E" w:rsidRPr="002954A6" w14:paraId="47F2B9BB" w14:textId="77777777" w:rsidTr="003F036E">
        <w:trPr>
          <w:trHeight w:val="680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3C1E9B0F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Increased attendance rates   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7D2F6716" w14:textId="69086D35" w:rsidR="003F036E" w:rsidRPr="00AE78F2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PWO</w:t>
            </w:r>
            <w:r w:rsidR="003F036E" w:rsidRPr="00AE78F2">
              <w:rPr>
                <w:rFonts w:ascii="Arial" w:hAnsi="Arial" w:cs="Arial"/>
                <w:sz w:val="18"/>
                <w:szCs w:val="18"/>
              </w:rPr>
              <w:t xml:space="preserve"> to monitor pupils and follow up quickly on absences. First day response provision.  </w:t>
            </w:r>
          </w:p>
          <w:p w14:paraId="1E92B2A0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CDB72DF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can’t improve attainment for children if they aren’t actually attending school. NfER briefing for school leaders identifies addressing attendance as a key step.</w:t>
            </w:r>
          </w:p>
          <w:p w14:paraId="09D2D18C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D9723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3F5C0B28" w14:textId="0B71F769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Thorough briefing of </w:t>
            </w:r>
            <w:r w:rsidR="007D0283">
              <w:rPr>
                <w:rFonts w:ascii="Arial" w:hAnsi="Arial" w:cs="Arial"/>
                <w:sz w:val="18"/>
                <w:szCs w:val="18"/>
              </w:rPr>
              <w:t>PWO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about existing absence issues. </w:t>
            </w:r>
          </w:p>
          <w:p w14:paraId="4924D7AB" w14:textId="16DCF204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</w:t>
            </w:r>
            <w:r w:rsidR="007D0283">
              <w:rPr>
                <w:rFonts w:ascii="Arial" w:hAnsi="Arial" w:cs="Arial"/>
                <w:sz w:val="18"/>
                <w:szCs w:val="18"/>
              </w:rPr>
              <w:t>PWO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, head etc. will collaborate to ensure new provision and standard school processes work smoothly together. </w:t>
            </w:r>
          </w:p>
          <w:p w14:paraId="2572A8AB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ABD7107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07" w:type="dxa"/>
          </w:tcPr>
          <w:p w14:paraId="10A5E945" w14:textId="08AEE75B" w:rsidR="003F036E" w:rsidRPr="00AE78F2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</w:t>
            </w:r>
            <w:r w:rsidR="003F036E" w:rsidRPr="00AE78F2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3F036E" w:rsidRPr="002954A6" w14:paraId="1FE6BE71" w14:textId="77777777" w:rsidTr="003F036E">
        <w:trPr>
          <w:trHeight w:val="1150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45CC2794" w14:textId="4308365F" w:rsidR="003F036E" w:rsidRPr="00004FB6" w:rsidRDefault="007D0283" w:rsidP="00AA214A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AA214A">
              <w:rPr>
                <w:rFonts w:ascii="Arial" w:hAnsi="Arial" w:cs="Arial"/>
                <w:sz w:val="18"/>
                <w:szCs w:val="18"/>
              </w:rPr>
              <w:t xml:space="preserve">the quality of Teaching and Learning across school 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CA25C79" w14:textId="77777777" w:rsidR="007D0283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1BC24E66" w14:textId="77777777" w:rsidR="007D0283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8465AA0" w14:textId="4DCD4395" w:rsidR="007D0283" w:rsidRPr="006C7C85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Work with Bill Thompson to develop teacher pedagogy to focus on learning and assessment</w:t>
            </w:r>
          </w:p>
          <w:p w14:paraId="4668F65D" w14:textId="612694CE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0DD8565B" w14:textId="540C7EE7" w:rsidR="003F036E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know that quality first teaching is paramount in getting the best results for pupils. 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17B8261F" w14:textId="77777777" w:rsidR="003F036E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have an appraisal target related to the work undertaken with Bill Thompson</w:t>
            </w:r>
          </w:p>
          <w:p w14:paraId="7404117B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A7C00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CPD sessions focusing on marking and feedback will monitor the quality of feedback given. </w:t>
            </w:r>
          </w:p>
          <w:p w14:paraId="5173C505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visualisers to transform approaches to T &amp; L in classrooms</w:t>
            </w:r>
          </w:p>
          <w:p w14:paraId="5C739192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80698" w14:textId="3DEC8FDE" w:rsidR="007D0283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Mindset project data will show how children are becoming more resilient. </w:t>
            </w:r>
          </w:p>
        </w:tc>
        <w:tc>
          <w:tcPr>
            <w:tcW w:w="1238" w:type="dxa"/>
          </w:tcPr>
          <w:p w14:paraId="5D21A09A" w14:textId="421D53AC" w:rsidR="003F036E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407" w:type="dxa"/>
          </w:tcPr>
          <w:p w14:paraId="6E1B144D" w14:textId="77777777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3F036E" w:rsidRPr="002954A6" w14:paraId="0B8609CB" w14:textId="77777777" w:rsidTr="003F036E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7224C140" w14:textId="615A336C" w:rsidR="003F036E" w:rsidRPr="002954A6" w:rsidRDefault="003F036E" w:rsidP="00BF0CE1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07" w:type="dxa"/>
          </w:tcPr>
          <w:p w14:paraId="0716AA0B" w14:textId="168BF31E" w:rsidR="003F036E" w:rsidRPr="002954A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AB8B7" w14:textId="77777777" w:rsidR="00A447DE" w:rsidRPr="00577A17" w:rsidRDefault="00A447DE" w:rsidP="00577A17"/>
    <w:sectPr w:rsidR="00A447DE" w:rsidRPr="00577A17" w:rsidSect="00791FE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382"/>
    <w:multiLevelType w:val="hybridMultilevel"/>
    <w:tmpl w:val="CC2ADEB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B707DB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393"/>
    <w:multiLevelType w:val="hybridMultilevel"/>
    <w:tmpl w:val="2388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003"/>
    <w:multiLevelType w:val="hybridMultilevel"/>
    <w:tmpl w:val="88C2F3D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41B4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6A2C6B"/>
    <w:multiLevelType w:val="hybridMultilevel"/>
    <w:tmpl w:val="996A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7"/>
    <w:rsid w:val="0000528A"/>
    <w:rsid w:val="0000775E"/>
    <w:rsid w:val="000334A6"/>
    <w:rsid w:val="00037175"/>
    <w:rsid w:val="000A6C64"/>
    <w:rsid w:val="000B221E"/>
    <w:rsid w:val="000E6110"/>
    <w:rsid w:val="000F0AA5"/>
    <w:rsid w:val="00146A03"/>
    <w:rsid w:val="001800E3"/>
    <w:rsid w:val="00197657"/>
    <w:rsid w:val="001C01D8"/>
    <w:rsid w:val="001E00F2"/>
    <w:rsid w:val="001E175D"/>
    <w:rsid w:val="001E60C0"/>
    <w:rsid w:val="002064E8"/>
    <w:rsid w:val="0023112D"/>
    <w:rsid w:val="00254744"/>
    <w:rsid w:val="00254B16"/>
    <w:rsid w:val="00266A2D"/>
    <w:rsid w:val="002B553B"/>
    <w:rsid w:val="002F7731"/>
    <w:rsid w:val="00384431"/>
    <w:rsid w:val="003A64AA"/>
    <w:rsid w:val="003F036E"/>
    <w:rsid w:val="00404547"/>
    <w:rsid w:val="00427E38"/>
    <w:rsid w:val="004841B6"/>
    <w:rsid w:val="004B3D77"/>
    <w:rsid w:val="004E73BE"/>
    <w:rsid w:val="005537FA"/>
    <w:rsid w:val="00577A17"/>
    <w:rsid w:val="005F28F3"/>
    <w:rsid w:val="00603312"/>
    <w:rsid w:val="006C6B15"/>
    <w:rsid w:val="00755F33"/>
    <w:rsid w:val="00791FE7"/>
    <w:rsid w:val="007D0283"/>
    <w:rsid w:val="00823B5D"/>
    <w:rsid w:val="008A5B7D"/>
    <w:rsid w:val="008D44CF"/>
    <w:rsid w:val="009D3ED6"/>
    <w:rsid w:val="00A301EE"/>
    <w:rsid w:val="00A31906"/>
    <w:rsid w:val="00A447DE"/>
    <w:rsid w:val="00AA214A"/>
    <w:rsid w:val="00AA3CC5"/>
    <w:rsid w:val="00AE215D"/>
    <w:rsid w:val="00AE72B5"/>
    <w:rsid w:val="00B11310"/>
    <w:rsid w:val="00B45AC5"/>
    <w:rsid w:val="00B7007E"/>
    <w:rsid w:val="00B73D2E"/>
    <w:rsid w:val="00BD6957"/>
    <w:rsid w:val="00BE7418"/>
    <w:rsid w:val="00C22ECA"/>
    <w:rsid w:val="00C27652"/>
    <w:rsid w:val="00C62EFA"/>
    <w:rsid w:val="00D44E06"/>
    <w:rsid w:val="00D51342"/>
    <w:rsid w:val="00D517B1"/>
    <w:rsid w:val="00D72D02"/>
    <w:rsid w:val="00D73AED"/>
    <w:rsid w:val="00DA500C"/>
    <w:rsid w:val="00DE44D6"/>
    <w:rsid w:val="00E05456"/>
    <w:rsid w:val="00E52415"/>
    <w:rsid w:val="00E55B79"/>
    <w:rsid w:val="00E64E74"/>
    <w:rsid w:val="00E661F0"/>
    <w:rsid w:val="00E86AB9"/>
    <w:rsid w:val="00EC5172"/>
    <w:rsid w:val="00EC69F3"/>
    <w:rsid w:val="00EE582D"/>
    <w:rsid w:val="00F0373C"/>
    <w:rsid w:val="00F25147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B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7A17"/>
    <w:pPr>
      <w:ind w:left="720"/>
    </w:pPr>
    <w:rPr>
      <w:sz w:val="22"/>
      <w:szCs w:val="22"/>
    </w:rPr>
  </w:style>
  <w:style w:type="table" w:styleId="TableGrid">
    <w:name w:val="Table Grid"/>
    <w:basedOn w:val="TableNormal"/>
    <w:uiPriority w:val="59"/>
    <w:rsid w:val="00577A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431"/>
    <w:rPr>
      <w:color w:val="0563C1" w:themeColor="hyperlink"/>
      <w:u w:val="single"/>
    </w:rPr>
  </w:style>
  <w:style w:type="paragraph" w:customStyle="1" w:styleId="Default">
    <w:name w:val="Default"/>
    <w:rsid w:val="003844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1298</Words>
  <Characters>7405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Pupil premium strategy statement: Moor Park 2016 - 17</vt:lpstr>
      <vt:lpstr>    Based on the TSC Pupil Premium Toolkit</vt:lpstr>
    </vt:vector>
  </TitlesOfParts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Kirkpatrick</dc:creator>
  <cp:keywords/>
  <dc:description/>
  <cp:lastModifiedBy>Gareth Kirkpatrick</cp:lastModifiedBy>
  <cp:revision>4</cp:revision>
  <dcterms:created xsi:type="dcterms:W3CDTF">2017-02-21T19:26:00Z</dcterms:created>
  <dcterms:modified xsi:type="dcterms:W3CDTF">2017-02-28T10:45:00Z</dcterms:modified>
</cp:coreProperties>
</file>